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36902" w14:textId="77777777" w:rsidR="00C06124" w:rsidRDefault="00C06124" w:rsidP="00C06124"/>
    <w:p w14:paraId="4C706318" w14:textId="77777777" w:rsidR="00C06124" w:rsidRDefault="00C06124" w:rsidP="00C06124"/>
    <w:p w14:paraId="0E9662BE" w14:textId="77777777" w:rsidR="00C06124" w:rsidRDefault="00C06124" w:rsidP="00C06124">
      <w:pPr>
        <w:pStyle w:val="Default"/>
      </w:pPr>
    </w:p>
    <w:p w14:paraId="3A56D064" w14:textId="68D379F8" w:rsidR="00C06124" w:rsidRPr="00DF4655" w:rsidRDefault="00C06124" w:rsidP="00BB23F2">
      <w:pPr>
        <w:rPr>
          <w:b/>
          <w:bCs/>
          <w:lang w:val="en-US"/>
        </w:rPr>
      </w:pPr>
      <w:r w:rsidRPr="00DF4655">
        <w:rPr>
          <w:b/>
          <w:bCs/>
          <w:lang w:val="en-US"/>
        </w:rPr>
        <w:t>Instructions fo</w:t>
      </w:r>
      <w:r w:rsidR="00825961">
        <w:rPr>
          <w:b/>
          <w:bCs/>
          <w:lang w:val="en-US"/>
        </w:rPr>
        <w:t>r preparing the abstract to XV</w:t>
      </w:r>
      <w:r w:rsidR="005044BA">
        <w:rPr>
          <w:b/>
          <w:bCs/>
          <w:lang w:val="en-US"/>
        </w:rPr>
        <w:t>II</w:t>
      </w:r>
      <w:r w:rsidRPr="00DF4655">
        <w:rPr>
          <w:b/>
          <w:bCs/>
          <w:lang w:val="en-US"/>
        </w:rPr>
        <w:t xml:space="preserve"> </w:t>
      </w:r>
      <w:r w:rsidR="00551617">
        <w:rPr>
          <w:b/>
          <w:bCs/>
          <w:lang w:val="en-US"/>
        </w:rPr>
        <w:t xml:space="preserve">TTMD </w:t>
      </w:r>
      <w:r w:rsidRPr="00DF4655">
        <w:rPr>
          <w:b/>
          <w:bCs/>
          <w:lang w:val="en-US"/>
        </w:rPr>
        <w:t>INT</w:t>
      </w:r>
      <w:r w:rsidR="00825961">
        <w:rPr>
          <w:b/>
          <w:bCs/>
          <w:lang w:val="en-US"/>
        </w:rPr>
        <w:t>ERNATIONAL HVAC&amp;</w:t>
      </w:r>
      <w:r w:rsidRPr="00DF4655">
        <w:rPr>
          <w:b/>
          <w:bCs/>
          <w:lang w:val="en-US"/>
        </w:rPr>
        <w:t>R</w:t>
      </w:r>
      <w:r w:rsidR="00825961">
        <w:rPr>
          <w:b/>
          <w:bCs/>
          <w:lang w:val="en-US"/>
        </w:rPr>
        <w:t xml:space="preserve"> TECHNOLOGIES</w:t>
      </w:r>
      <w:r w:rsidRPr="00DF4655">
        <w:rPr>
          <w:b/>
          <w:bCs/>
          <w:lang w:val="en-US"/>
        </w:rPr>
        <w:t xml:space="preserve"> SYMPOSIUM 2022 </w:t>
      </w:r>
    </w:p>
    <w:p w14:paraId="2F855D1A" w14:textId="77777777" w:rsidR="00BB23F2" w:rsidRPr="00DF4655" w:rsidRDefault="00BB23F2" w:rsidP="00BB23F2">
      <w:pPr>
        <w:numPr>
          <w:ilvl w:val="0"/>
          <w:numId w:val="2"/>
        </w:numPr>
        <w:spacing w:after="0" w:line="240" w:lineRule="auto"/>
        <w:rPr>
          <w:lang w:val="en-US"/>
        </w:rPr>
      </w:pPr>
      <w:r w:rsidRPr="00DF4655">
        <w:rPr>
          <w:lang w:val="en-US"/>
        </w:rPr>
        <w:t xml:space="preserve">Abstract language is </w:t>
      </w:r>
      <w:r w:rsidRPr="00DF4655">
        <w:rPr>
          <w:b/>
          <w:lang w:val="en-US"/>
        </w:rPr>
        <w:t>English</w:t>
      </w:r>
      <w:r w:rsidRPr="00DF4655">
        <w:rPr>
          <w:lang w:val="en-US"/>
        </w:rPr>
        <w:t>.</w:t>
      </w:r>
    </w:p>
    <w:p w14:paraId="2A5180F1" w14:textId="5D24152C" w:rsidR="00B1535A" w:rsidRPr="00551617" w:rsidRDefault="00BB23F2" w:rsidP="00551617">
      <w:pPr>
        <w:numPr>
          <w:ilvl w:val="0"/>
          <w:numId w:val="2"/>
        </w:numPr>
        <w:spacing w:after="0" w:line="240" w:lineRule="auto"/>
        <w:rPr>
          <w:lang w:val="en-US"/>
        </w:rPr>
      </w:pPr>
      <w:r w:rsidRPr="007F67FD">
        <w:rPr>
          <w:lang w:val="en-US"/>
        </w:rPr>
        <w:t>Abstracts should</w:t>
      </w:r>
      <w:r w:rsidR="00B1535A" w:rsidRPr="007F67FD">
        <w:rPr>
          <w:lang w:val="en-US"/>
        </w:rPr>
        <w:t xml:space="preserve"> </w:t>
      </w:r>
      <w:r w:rsidRPr="007F67FD">
        <w:rPr>
          <w:lang w:val="en-US"/>
        </w:rPr>
        <w:t xml:space="preserve">be </w:t>
      </w:r>
      <w:r w:rsidR="00B1535A" w:rsidRPr="007F67FD">
        <w:rPr>
          <w:lang w:val="en-US"/>
        </w:rPr>
        <w:t>received</w:t>
      </w:r>
      <w:r w:rsidRPr="007F67FD">
        <w:rPr>
          <w:lang w:val="en-US"/>
        </w:rPr>
        <w:t xml:space="preserve"> before </w:t>
      </w:r>
      <w:r w:rsidR="00757A81">
        <w:rPr>
          <w:b/>
          <w:lang w:val="en-US"/>
        </w:rPr>
        <w:t>Ju</w:t>
      </w:r>
      <w:r w:rsidR="00D9285A">
        <w:rPr>
          <w:b/>
          <w:lang w:val="en-US"/>
        </w:rPr>
        <w:t>nuary</w:t>
      </w:r>
      <w:r w:rsidR="00551617">
        <w:rPr>
          <w:b/>
          <w:lang w:val="en-US"/>
        </w:rPr>
        <w:t xml:space="preserve"> </w:t>
      </w:r>
      <w:r w:rsidR="00D9285A">
        <w:rPr>
          <w:b/>
          <w:lang w:val="en-US"/>
        </w:rPr>
        <w:t>23rd</w:t>
      </w:r>
      <w:r w:rsidRPr="00551617">
        <w:rPr>
          <w:b/>
          <w:lang w:val="en-US"/>
        </w:rPr>
        <w:t>, 202</w:t>
      </w:r>
      <w:r w:rsidR="00D9285A">
        <w:rPr>
          <w:b/>
          <w:lang w:val="en-US"/>
        </w:rPr>
        <w:t>6</w:t>
      </w:r>
      <w:r w:rsidRPr="00551617">
        <w:rPr>
          <w:b/>
          <w:lang w:val="en-US"/>
        </w:rPr>
        <w:t xml:space="preserve"> </w:t>
      </w:r>
      <w:r w:rsidR="007F67FD" w:rsidRPr="00551617">
        <w:rPr>
          <w:lang w:val="en-US"/>
        </w:rPr>
        <w:t>via symposium web site.</w:t>
      </w:r>
    </w:p>
    <w:p w14:paraId="13CC76DE" w14:textId="77777777" w:rsidR="007F67FD" w:rsidRPr="007F67FD" w:rsidRDefault="007F67FD" w:rsidP="007F67FD">
      <w:pPr>
        <w:pStyle w:val="ListeParagraf"/>
        <w:numPr>
          <w:ilvl w:val="0"/>
          <w:numId w:val="2"/>
        </w:numPr>
        <w:shd w:val="clear" w:color="auto" w:fill="FFFFFF"/>
        <w:spacing w:after="0" w:line="240" w:lineRule="auto"/>
        <w:textAlignment w:val="baseline"/>
        <w:rPr>
          <w:rFonts w:eastAsia="Times New Roman" w:cstheme="minorHAnsi"/>
          <w:lang w:eastAsia="tr-TR"/>
        </w:rPr>
      </w:pPr>
      <w:r w:rsidRPr="007F67FD">
        <w:rPr>
          <w:rFonts w:eastAsia="Times New Roman" w:cstheme="minorHAnsi"/>
          <w:lang w:eastAsia="tr-TR"/>
        </w:rPr>
        <w:t>In case of problems in submitting an abstract, the abstracts can also be forwarded to </w:t>
      </w:r>
      <w:hyperlink r:id="rId5" w:history="1">
        <w:r w:rsidRPr="007F67FD">
          <w:rPr>
            <w:rFonts w:eastAsia="Times New Roman" w:cstheme="minorHAnsi"/>
            <w:spacing w:val="15"/>
            <w:bdr w:val="none" w:sz="0" w:space="0" w:color="auto" w:frame="1"/>
            <w:lang w:eastAsia="tr-TR"/>
          </w:rPr>
          <w:t>symposium@ttmd.org.tr</w:t>
        </w:r>
      </w:hyperlink>
      <w:r w:rsidRPr="007F67FD">
        <w:rPr>
          <w:rFonts w:eastAsia="Times New Roman" w:cstheme="minorHAnsi"/>
          <w:lang w:eastAsia="tr-TR"/>
        </w:rPr>
        <w:t xml:space="preserve"> </w:t>
      </w:r>
    </w:p>
    <w:p w14:paraId="25F8E9E8" w14:textId="77777777" w:rsidR="00B1535A" w:rsidRPr="00DF4655" w:rsidRDefault="00DF4655" w:rsidP="00BB23F2">
      <w:pPr>
        <w:numPr>
          <w:ilvl w:val="0"/>
          <w:numId w:val="2"/>
        </w:numPr>
        <w:spacing w:after="0" w:line="240" w:lineRule="auto"/>
        <w:rPr>
          <w:lang w:val="en-US"/>
        </w:rPr>
      </w:pPr>
      <w:r w:rsidRPr="00DF4655">
        <w:rPr>
          <w:lang w:val="en-US"/>
        </w:rPr>
        <w:t xml:space="preserve">The length of the abstracts will not be more than </w:t>
      </w:r>
      <w:r w:rsidRPr="00DF4655">
        <w:rPr>
          <w:b/>
          <w:lang w:val="en-US"/>
        </w:rPr>
        <w:t>500 words</w:t>
      </w:r>
      <w:r w:rsidRPr="00DF4655">
        <w:rPr>
          <w:lang w:val="en-US"/>
        </w:rPr>
        <w:t xml:space="preserve">. </w:t>
      </w:r>
    </w:p>
    <w:p w14:paraId="59323927" w14:textId="453C6A4A" w:rsidR="00B1535A" w:rsidRPr="00DF4655" w:rsidRDefault="00DF4655" w:rsidP="00BB23F2">
      <w:pPr>
        <w:numPr>
          <w:ilvl w:val="0"/>
          <w:numId w:val="2"/>
        </w:numPr>
        <w:spacing w:after="0" w:line="240" w:lineRule="auto"/>
        <w:rPr>
          <w:lang w:val="en-US"/>
        </w:rPr>
      </w:pPr>
      <w:r w:rsidRPr="00DF4655">
        <w:rPr>
          <w:lang w:val="en-US"/>
        </w:rPr>
        <w:t xml:space="preserve">Abstracts should cover the aim of the study, the </w:t>
      </w:r>
      <w:r w:rsidR="00D9285A" w:rsidRPr="00DF4655">
        <w:rPr>
          <w:lang w:val="en-US"/>
        </w:rPr>
        <w:t>method used</w:t>
      </w:r>
      <w:r w:rsidRPr="00DF4655">
        <w:rPr>
          <w:lang w:val="en-US"/>
        </w:rPr>
        <w:t xml:space="preserve"> and the main findings.</w:t>
      </w:r>
    </w:p>
    <w:p w14:paraId="76C77F22" w14:textId="77777777" w:rsidR="00BB23F2" w:rsidRPr="00BB23F2" w:rsidRDefault="00BB23F2" w:rsidP="00BB23F2">
      <w:pPr>
        <w:rPr>
          <w:rFonts w:ascii="Arial" w:hAnsi="Arial"/>
          <w:lang w:val="en-US"/>
        </w:rPr>
      </w:pPr>
    </w:p>
    <w:p w14:paraId="5E651FC1" w14:textId="0A7BBEBF" w:rsidR="00F1185C" w:rsidRPr="00DF4655" w:rsidRDefault="00F1185C" w:rsidP="00F1185C">
      <w:pPr>
        <w:rPr>
          <w:b/>
          <w:bCs/>
          <w:lang w:val="en-US"/>
        </w:rPr>
      </w:pPr>
      <w:r w:rsidRPr="00DF4655">
        <w:rPr>
          <w:b/>
          <w:bCs/>
          <w:lang w:val="en-US"/>
        </w:rPr>
        <w:t>Template fo</w:t>
      </w:r>
      <w:r w:rsidR="00825961">
        <w:rPr>
          <w:b/>
          <w:bCs/>
          <w:lang w:val="en-US"/>
        </w:rPr>
        <w:t>r preparing the abstract to XV</w:t>
      </w:r>
      <w:r w:rsidR="00D9285A">
        <w:rPr>
          <w:b/>
          <w:bCs/>
          <w:lang w:val="en-US"/>
        </w:rPr>
        <w:t>II</w:t>
      </w:r>
      <w:r w:rsidR="00825961">
        <w:rPr>
          <w:b/>
          <w:bCs/>
          <w:lang w:val="en-US"/>
        </w:rPr>
        <w:t xml:space="preserve"> </w:t>
      </w:r>
      <w:r w:rsidR="00551617">
        <w:rPr>
          <w:b/>
          <w:bCs/>
          <w:lang w:val="en-US"/>
        </w:rPr>
        <w:t xml:space="preserve">TTMD </w:t>
      </w:r>
      <w:r w:rsidR="00825961">
        <w:rPr>
          <w:b/>
          <w:bCs/>
          <w:lang w:val="en-US"/>
        </w:rPr>
        <w:t>INTERNATIONAL HVAC&amp;</w:t>
      </w:r>
      <w:r w:rsidRPr="00DF4655">
        <w:rPr>
          <w:b/>
          <w:bCs/>
          <w:lang w:val="en-US"/>
        </w:rPr>
        <w:t xml:space="preserve">R </w:t>
      </w:r>
      <w:r w:rsidR="00825961">
        <w:rPr>
          <w:b/>
          <w:bCs/>
          <w:lang w:val="en-US"/>
        </w:rPr>
        <w:t xml:space="preserve">TECHNOLOGIES </w:t>
      </w:r>
      <w:r w:rsidRPr="00DF4655">
        <w:rPr>
          <w:b/>
          <w:bCs/>
          <w:lang w:val="en-US"/>
        </w:rPr>
        <w:t>SYMPOSIUM 202</w:t>
      </w:r>
      <w:r w:rsidR="00D9285A">
        <w:rPr>
          <w:b/>
          <w:bCs/>
          <w:lang w:val="en-US"/>
        </w:rPr>
        <w:t>6</w:t>
      </w:r>
      <w:r w:rsidR="00BB23F2" w:rsidRPr="00DF4655">
        <w:rPr>
          <w:b/>
          <w:bCs/>
          <w:lang w:val="en-US"/>
        </w:rPr>
        <w:t>:</w:t>
      </w:r>
      <w:r w:rsidRPr="00DF4655">
        <w:rPr>
          <w:b/>
          <w:bCs/>
          <w:lang w:val="en-US"/>
        </w:rPr>
        <w:t xml:space="preserve"> </w:t>
      </w:r>
    </w:p>
    <w:p w14:paraId="6880183C" w14:textId="77777777" w:rsidR="002F3DEB" w:rsidRDefault="002F3DEB" w:rsidP="00C06124">
      <w:pPr>
        <w:pStyle w:val="Default"/>
        <w:jc w:val="center"/>
        <w:rPr>
          <w:sz w:val="23"/>
          <w:szCs w:val="23"/>
        </w:rPr>
      </w:pPr>
    </w:p>
    <w:p w14:paraId="152EAFEF" w14:textId="77777777" w:rsidR="00C06124" w:rsidRPr="00DF4655" w:rsidRDefault="00C06124" w:rsidP="00C06124">
      <w:pPr>
        <w:spacing w:after="0" w:line="240" w:lineRule="auto"/>
        <w:rPr>
          <w:rFonts w:eastAsia="Times New Roman" w:cs="Times New Roman"/>
          <w:b/>
          <w:bCs/>
          <w:lang w:eastAsia="tr-TR"/>
        </w:rPr>
      </w:pPr>
      <w:r w:rsidRPr="00DF4655">
        <w:rPr>
          <w:rFonts w:eastAsia="Times New Roman" w:cs="Times New Roman"/>
          <w:b/>
          <w:bCs/>
          <w:lang w:eastAsia="tr-TR"/>
        </w:rPr>
        <w:t>[Abstract:000]</w:t>
      </w:r>
    </w:p>
    <w:p w14:paraId="3B201A26" w14:textId="77777777" w:rsidR="00C06124" w:rsidRPr="00DF4655" w:rsidRDefault="00C06124" w:rsidP="00C06124">
      <w:pPr>
        <w:spacing w:before="100" w:beforeAutospacing="1" w:after="100" w:afterAutospacing="1" w:line="312" w:lineRule="atLeast"/>
        <w:outlineLvl w:val="1"/>
        <w:rPr>
          <w:rFonts w:eastAsia="Times New Roman" w:cs="Times New Roman"/>
          <w:b/>
          <w:bCs/>
          <w:lang w:val="en-US" w:eastAsia="tr-TR"/>
        </w:rPr>
      </w:pPr>
      <w:r w:rsidRPr="00DF4655">
        <w:rPr>
          <w:rFonts w:eastAsia="Times New Roman" w:cs="Times New Roman"/>
          <w:b/>
          <w:lang w:val="en-US" w:eastAsia="tr-TR"/>
        </w:rPr>
        <w:t xml:space="preserve">European Union directive on </w:t>
      </w:r>
      <w:r w:rsidRPr="00DF4655">
        <w:rPr>
          <w:rFonts w:eastAsia="Times New Roman" w:cs="Times New Roman"/>
          <w:b/>
          <w:bCs/>
          <w:lang w:val="en-US" w:eastAsia="tr-TR"/>
        </w:rPr>
        <w:t>Evaluation of Renewable Energy Systems in Buildings and Settlements by Cost Optimal Calculation Method of EPBD Recast</w:t>
      </w:r>
    </w:p>
    <w:p w14:paraId="5997F1BB" w14:textId="77777777" w:rsidR="002F3DEB" w:rsidRPr="00DF4655" w:rsidRDefault="002F3DEB" w:rsidP="002F3DEB">
      <w:pPr>
        <w:pStyle w:val="Default"/>
        <w:rPr>
          <w:rFonts w:asciiTheme="minorHAnsi" w:hAnsiTheme="minorHAnsi"/>
          <w:sz w:val="22"/>
          <w:szCs w:val="22"/>
        </w:rPr>
      </w:pPr>
      <w:r w:rsidRPr="00DF4655">
        <w:rPr>
          <w:rFonts w:asciiTheme="minorHAnsi" w:hAnsiTheme="minorHAnsi"/>
          <w:sz w:val="22"/>
          <w:szCs w:val="22"/>
        </w:rPr>
        <w:t>First name Last name</w:t>
      </w:r>
      <w:r w:rsidRPr="00DF4655">
        <w:rPr>
          <w:rFonts w:asciiTheme="minorHAnsi" w:hAnsiTheme="minorHAnsi"/>
          <w:sz w:val="22"/>
          <w:szCs w:val="22"/>
          <w:vertAlign w:val="superscript"/>
        </w:rPr>
        <w:t>1</w:t>
      </w:r>
      <w:r w:rsidRPr="00DF4655">
        <w:rPr>
          <w:rFonts w:asciiTheme="minorHAnsi" w:hAnsiTheme="minorHAnsi"/>
          <w:sz w:val="22"/>
          <w:szCs w:val="22"/>
        </w:rPr>
        <w:t xml:space="preserve">, </w:t>
      </w:r>
      <w:r w:rsidR="00C06124" w:rsidRPr="00DF4655">
        <w:rPr>
          <w:rFonts w:asciiTheme="minorHAnsi" w:eastAsia="Times New Roman" w:hAnsiTheme="minorHAnsi"/>
          <w:sz w:val="22"/>
          <w:szCs w:val="22"/>
          <w:u w:val="single"/>
          <w:lang w:val="en-US" w:eastAsia="tr-TR"/>
        </w:rPr>
        <w:t>Ece Kalaycıoğlu</w:t>
      </w:r>
      <w:r w:rsidR="00C06124" w:rsidRPr="00DF4655">
        <w:rPr>
          <w:rFonts w:asciiTheme="minorHAnsi" w:eastAsia="Times New Roman" w:hAnsiTheme="minorHAnsi"/>
          <w:sz w:val="22"/>
          <w:szCs w:val="22"/>
          <w:vertAlign w:val="superscript"/>
          <w:lang w:val="en-US" w:eastAsia="tr-TR"/>
        </w:rPr>
        <w:t>1</w:t>
      </w:r>
      <w:r w:rsidR="00C06124" w:rsidRPr="00DF4655">
        <w:rPr>
          <w:rFonts w:asciiTheme="minorHAnsi" w:eastAsia="Times New Roman" w:hAnsiTheme="minorHAnsi"/>
          <w:sz w:val="22"/>
          <w:szCs w:val="22"/>
          <w:shd w:val="clear" w:color="auto" w:fill="FFFFFF"/>
          <w:lang w:val="en-US" w:eastAsia="tr-TR"/>
        </w:rPr>
        <w:t>, Ayşe Zerrin Yılmaz</w:t>
      </w:r>
      <w:r w:rsidR="00C06124" w:rsidRPr="00DF4655">
        <w:rPr>
          <w:rFonts w:asciiTheme="minorHAnsi" w:eastAsia="Times New Roman" w:hAnsiTheme="minorHAnsi"/>
          <w:sz w:val="22"/>
          <w:szCs w:val="22"/>
          <w:vertAlign w:val="superscript"/>
          <w:lang w:val="en-US" w:eastAsia="tr-TR"/>
        </w:rPr>
        <w:t>2</w:t>
      </w:r>
      <w:r w:rsidR="00C06124" w:rsidRPr="00DF4655">
        <w:rPr>
          <w:rFonts w:asciiTheme="minorHAnsi" w:eastAsia="Times New Roman" w:hAnsiTheme="minorHAnsi"/>
          <w:sz w:val="22"/>
          <w:szCs w:val="22"/>
          <w:lang w:val="en-US" w:eastAsia="tr-TR"/>
        </w:rPr>
        <w:br/>
      </w:r>
      <w:r w:rsidR="00C06124" w:rsidRPr="00DF4655">
        <w:rPr>
          <w:rFonts w:asciiTheme="minorHAnsi" w:eastAsia="Times New Roman" w:hAnsiTheme="minorHAnsi"/>
          <w:sz w:val="22"/>
          <w:szCs w:val="22"/>
          <w:vertAlign w:val="superscript"/>
          <w:lang w:val="en-US" w:eastAsia="tr-TR"/>
        </w:rPr>
        <w:t>1</w:t>
      </w:r>
      <w:r w:rsidR="00C06124" w:rsidRPr="00DF4655">
        <w:rPr>
          <w:rFonts w:asciiTheme="minorHAnsi" w:eastAsia="Times New Roman" w:hAnsiTheme="minorHAnsi"/>
          <w:sz w:val="22"/>
          <w:szCs w:val="22"/>
          <w:shd w:val="clear" w:color="auto" w:fill="FFFFFF"/>
          <w:lang w:val="en-US" w:eastAsia="tr-TR"/>
        </w:rPr>
        <w:t>Department of Design and Architecture, Ozyegin University, Istanbul, Turkey</w:t>
      </w:r>
      <w:r w:rsidR="00C06124" w:rsidRPr="00DF4655">
        <w:rPr>
          <w:rFonts w:asciiTheme="minorHAnsi" w:eastAsia="Times New Roman" w:hAnsiTheme="minorHAnsi"/>
          <w:sz w:val="22"/>
          <w:szCs w:val="22"/>
          <w:lang w:val="en-US" w:eastAsia="tr-TR"/>
        </w:rPr>
        <w:br/>
      </w:r>
      <w:r w:rsidR="00C06124" w:rsidRPr="00DF4655">
        <w:rPr>
          <w:rFonts w:asciiTheme="minorHAnsi" w:eastAsia="Times New Roman" w:hAnsiTheme="minorHAnsi"/>
          <w:sz w:val="22"/>
          <w:szCs w:val="22"/>
          <w:vertAlign w:val="superscript"/>
          <w:lang w:val="en-US" w:eastAsia="tr-TR"/>
        </w:rPr>
        <w:t>2</w:t>
      </w:r>
      <w:r w:rsidR="00C06124" w:rsidRPr="00DF4655">
        <w:rPr>
          <w:rFonts w:asciiTheme="minorHAnsi" w:eastAsia="Times New Roman" w:hAnsiTheme="minorHAnsi"/>
          <w:sz w:val="22"/>
          <w:szCs w:val="22"/>
          <w:shd w:val="clear" w:color="auto" w:fill="FFFFFF"/>
          <w:lang w:val="en-US" w:eastAsia="tr-TR"/>
        </w:rPr>
        <w:t>Department of Architecture, Istanbul Technical University, Istanbul, Turkey</w:t>
      </w:r>
      <w:r w:rsidR="00C06124" w:rsidRPr="00DF4655">
        <w:rPr>
          <w:rFonts w:asciiTheme="minorHAnsi" w:eastAsia="Times New Roman" w:hAnsiTheme="minorHAnsi"/>
          <w:sz w:val="22"/>
          <w:szCs w:val="22"/>
          <w:lang w:val="en-US" w:eastAsia="tr-TR"/>
        </w:rPr>
        <w:br/>
      </w:r>
      <w:r w:rsidRPr="00DF4655">
        <w:rPr>
          <w:rFonts w:asciiTheme="minorHAnsi" w:hAnsiTheme="minorHAnsi"/>
          <w:i/>
          <w:iCs/>
          <w:sz w:val="22"/>
          <w:szCs w:val="22"/>
        </w:rPr>
        <w:t xml:space="preserve">Corresponding email: Firstname.lastname@domain.org </w:t>
      </w:r>
      <w:r w:rsidRPr="00DF4655">
        <w:rPr>
          <w:rFonts w:asciiTheme="minorHAnsi" w:hAnsiTheme="minorHAnsi"/>
          <w:sz w:val="22"/>
          <w:szCs w:val="22"/>
        </w:rPr>
        <w:t>(leave two empty lines after)</w:t>
      </w:r>
    </w:p>
    <w:p w14:paraId="3521692D" w14:textId="59F13AE2" w:rsidR="00C06124" w:rsidRPr="00DF4655" w:rsidRDefault="00C06124" w:rsidP="002F3DEB">
      <w:pPr>
        <w:spacing w:after="0" w:line="240" w:lineRule="auto"/>
        <w:rPr>
          <w:rFonts w:eastAsia="Times New Roman" w:cs="Times New Roman"/>
          <w:lang w:val="en-US" w:eastAsia="tr-TR"/>
        </w:rPr>
      </w:pPr>
      <w:r w:rsidRPr="00DF4655">
        <w:rPr>
          <w:rFonts w:eastAsia="Times New Roman" w:cs="Times New Roman"/>
          <w:lang w:val="en-US" w:eastAsia="tr-TR"/>
        </w:rPr>
        <w:br/>
        <w:t xml:space="preserve">the energy performance of buildings was revised and republished in 2010, as EPBD Recast, introducing new terms as cost optimal and nearly zero energy levels. It mandated that by 2018 all new public buildings and by 2020 all new buildings will be constructed as nearly zero energy building. Thus it proposed the calculation of </w:t>
      </w:r>
      <w:r w:rsidR="005044BA" w:rsidRPr="00DF4655">
        <w:rPr>
          <w:rFonts w:eastAsia="Times New Roman" w:cs="Times New Roman"/>
          <w:lang w:val="en-US" w:eastAsia="tr-TR"/>
        </w:rPr>
        <w:t>long-term</w:t>
      </w:r>
      <w:r w:rsidRPr="00DF4655">
        <w:rPr>
          <w:rFonts w:eastAsia="Times New Roman" w:cs="Times New Roman"/>
          <w:lang w:val="en-US" w:eastAsia="tr-TR"/>
        </w:rPr>
        <w:t xml:space="preserve"> energy related costs of buildings together with the annual primary energy consumption, as cost-optimal calculation framework.</w:t>
      </w:r>
      <w:r w:rsidRPr="00DF4655">
        <w:rPr>
          <w:rFonts w:eastAsia="Times New Roman" w:cs="Times New Roman"/>
          <w:lang w:val="en-US" w:eastAsia="tr-TR"/>
        </w:rPr>
        <w:br/>
        <w:t>In the study which will be explained in the paper, the cost-optimal calculation framework was adapted to settlements (group of buildings) connected to district energy systems. Different simulation tools were used for building scale and district scale analyses. Numerous alternatives as energy efficiency measures were applied to the buildings and their energy performance were assessed by EnergyPlus Simulation Program to reach cost-optimal and nearly zero energy levels. Then EnergyPro simulation program was utilized to analyze the energy performance of the district energy system alternatives. As a result, both at building and settlement scale, reference, cost optimal and nearly zero energy cases were determined. </w:t>
      </w:r>
      <w:r w:rsidRPr="00DF4655">
        <w:rPr>
          <w:rFonts w:eastAsia="Times New Roman" w:cs="Times New Roman"/>
          <w:lang w:val="en-US" w:eastAsia="tr-TR"/>
        </w:rPr>
        <w:br/>
        <w:t>In this paper, we are focused on the effectiveness of renewable energy systems for each three energy performance levels of buildings and settlements. Renewable energy systems have a significant role to reach the nearly zero energy levels both at building and settlement scale. However, their effect on economy should be analyzed carefully by government bodies. The nearly zero energy levels for different types of buildings and settlements located in different climates in a country should be determined depending on politics of energy, economy and social services.</w:t>
      </w:r>
    </w:p>
    <w:p w14:paraId="5DCCBFCF" w14:textId="77777777" w:rsidR="00C06124" w:rsidRDefault="00C06124" w:rsidP="00C06124">
      <w:r w:rsidRPr="00DF4655">
        <w:rPr>
          <w:rFonts w:eastAsia="Times New Roman" w:cs="Times New Roman"/>
          <w:b/>
          <w:bCs/>
          <w:lang w:val="en-US" w:eastAsia="tr-TR"/>
        </w:rPr>
        <w:t>Keywords: </w:t>
      </w:r>
      <w:r w:rsidRPr="00DF4655">
        <w:rPr>
          <w:rFonts w:eastAsia="Times New Roman" w:cs="Times New Roman"/>
          <w:shd w:val="clear" w:color="auto" w:fill="FFFFFF"/>
          <w:lang w:val="en-US" w:eastAsia="tr-TR"/>
        </w:rPr>
        <w:t>building energy performance, cost-optimal, nearly zero energy level, renewable energy systems, simulation tools</w:t>
      </w:r>
      <w:r w:rsidRPr="00DF4655">
        <w:rPr>
          <w:rFonts w:eastAsia="Times New Roman" w:cs="Times New Roman"/>
          <w:lang w:val="en-US" w:eastAsia="tr-TR"/>
        </w:rPr>
        <w:br/>
      </w:r>
    </w:p>
    <w:sectPr w:rsidR="00C06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C3556"/>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371C6AAF"/>
    <w:multiLevelType w:val="singleLevel"/>
    <w:tmpl w:val="85B2800C"/>
    <w:lvl w:ilvl="0">
      <w:start w:val="5"/>
      <w:numFmt w:val="decimal"/>
      <w:lvlText w:val="%1."/>
      <w:lvlJc w:val="left"/>
      <w:pPr>
        <w:tabs>
          <w:tab w:val="num" w:pos="360"/>
        </w:tabs>
        <w:ind w:left="360" w:hanging="360"/>
      </w:pPr>
      <w:rPr>
        <w:rFonts w:hint="default"/>
      </w:rPr>
    </w:lvl>
  </w:abstractNum>
  <w:abstractNum w:abstractNumId="2" w15:restartNumberingAfterBreak="0">
    <w:nsid w:val="5545710A"/>
    <w:multiLevelType w:val="multilevel"/>
    <w:tmpl w:val="97AC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407939">
    <w:abstractNumId w:val="1"/>
  </w:num>
  <w:num w:numId="2" w16cid:durableId="1949390749">
    <w:abstractNumId w:val="0"/>
  </w:num>
  <w:num w:numId="3" w16cid:durableId="1216550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24"/>
    <w:rsid w:val="000A44F2"/>
    <w:rsid w:val="000A7E9D"/>
    <w:rsid w:val="002F3DEB"/>
    <w:rsid w:val="005044BA"/>
    <w:rsid w:val="00551617"/>
    <w:rsid w:val="00757A81"/>
    <w:rsid w:val="007F67FD"/>
    <w:rsid w:val="00825961"/>
    <w:rsid w:val="00B1535A"/>
    <w:rsid w:val="00BB23F2"/>
    <w:rsid w:val="00C06124"/>
    <w:rsid w:val="00D9285A"/>
    <w:rsid w:val="00DA7D9D"/>
    <w:rsid w:val="00DF4655"/>
    <w:rsid w:val="00F118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64A2"/>
  <w15:docId w15:val="{6FD559FB-F724-477B-865A-35DD87AA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24"/>
  </w:style>
  <w:style w:type="paragraph" w:styleId="Balk4">
    <w:name w:val="heading 4"/>
    <w:basedOn w:val="Normal"/>
    <w:link w:val="Balk4Char"/>
    <w:uiPriority w:val="9"/>
    <w:qFormat/>
    <w:rsid w:val="00B1535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06124"/>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rsid w:val="00BB23F2"/>
    <w:rPr>
      <w:color w:val="0000FF"/>
      <w:u w:val="single"/>
    </w:rPr>
  </w:style>
  <w:style w:type="character" w:customStyle="1" w:styleId="Balk4Char">
    <w:name w:val="Başlık 4 Char"/>
    <w:basedOn w:val="VarsaylanParagrafYazTipi"/>
    <w:link w:val="Balk4"/>
    <w:uiPriority w:val="9"/>
    <w:rsid w:val="00B1535A"/>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B1535A"/>
    <w:rPr>
      <w:b/>
      <w:bCs/>
    </w:rPr>
  </w:style>
  <w:style w:type="paragraph" w:styleId="ListeParagraf">
    <w:name w:val="List Paragraph"/>
    <w:basedOn w:val="Normal"/>
    <w:uiPriority w:val="34"/>
    <w:qFormat/>
    <w:rsid w:val="007F6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9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rve@ttmd.org.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2503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dc:creator>
  <cp:keywords/>
  <dc:description/>
  <cp:lastModifiedBy>P. Powattey</cp:lastModifiedBy>
  <cp:revision>3</cp:revision>
  <dcterms:created xsi:type="dcterms:W3CDTF">2025-10-07T12:53:00Z</dcterms:created>
  <dcterms:modified xsi:type="dcterms:W3CDTF">2025-10-07T12:54:00Z</dcterms:modified>
</cp:coreProperties>
</file>